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D1" w:rsidRPr="00AE27E9" w:rsidRDefault="007A7AD1" w:rsidP="00972A32">
      <w:pPr>
        <w:spacing w:line="288" w:lineRule="auto"/>
        <w:jc w:val="center"/>
        <w:rPr>
          <w:b/>
          <w:sz w:val="32"/>
          <w:szCs w:val="32"/>
        </w:rPr>
      </w:pPr>
      <w:r w:rsidRPr="00AE27E9">
        <w:rPr>
          <w:b/>
          <w:sz w:val="32"/>
          <w:szCs w:val="32"/>
        </w:rPr>
        <w:t>BİLGİ TOPLUMU İSTATİSTİKLERİ 2011</w:t>
      </w:r>
    </w:p>
    <w:p w:rsidR="007A7AD1" w:rsidRDefault="007A7AD1" w:rsidP="008212AB">
      <w:pPr>
        <w:spacing w:line="288" w:lineRule="auto"/>
      </w:pPr>
    </w:p>
    <w:p w:rsidR="007A7AD1" w:rsidRPr="00AE27E9" w:rsidRDefault="007A7AD1" w:rsidP="00972A32">
      <w:pPr>
        <w:spacing w:line="288" w:lineRule="auto"/>
        <w:jc w:val="center"/>
        <w:rPr>
          <w:b/>
        </w:rPr>
      </w:pPr>
      <w:r w:rsidRPr="00AE27E9">
        <w:rPr>
          <w:b/>
        </w:rPr>
        <w:t>ÖZET DEĞERLENDİRME</w:t>
      </w:r>
    </w:p>
    <w:p w:rsidR="007A7AD1" w:rsidRDefault="007A7AD1" w:rsidP="008212AB">
      <w:pPr>
        <w:spacing w:line="288" w:lineRule="auto"/>
      </w:pPr>
    </w:p>
    <w:p w:rsidR="00972A32" w:rsidRDefault="00972A32" w:rsidP="008212AB">
      <w:pPr>
        <w:spacing w:line="288" w:lineRule="auto"/>
      </w:pPr>
    </w:p>
    <w:p w:rsidR="007A7AD1" w:rsidRDefault="007A7AD1" w:rsidP="00972A32">
      <w:pPr>
        <w:spacing w:line="288" w:lineRule="auto"/>
        <w:ind w:firstLine="708"/>
        <w:jc w:val="both"/>
      </w:pPr>
      <w:r>
        <w:t xml:space="preserve">Türkiye’nin bilgi toplumuna dönüşüm sürecinde kat edilen mesafeyi göstermeyi ve gelinen aşamayı ortaya koymayı amaçlayan Bilgi Toplumu İstatistikleri yayınının üçüncüsü Devlet Planlama Teşkilatı (DPT) Bilgi Toplumu Dairesi tarafından yayımlandı. Yayında, Bilgi Toplumu Stratejisi kapsamında belirlenmiş olan 117 gösterge için Türkiye İstatistik Kurumu (TÜİK) ve diğer kurumlar tarafından üretilen veriler temel alınmakta olup söz konusu göstergelerin 2010 ve öncesi yıllara ait değerlerine yer verilmektedir. </w:t>
      </w:r>
    </w:p>
    <w:p w:rsidR="007A7AD1" w:rsidRDefault="007A7AD1" w:rsidP="008212AB">
      <w:pPr>
        <w:spacing w:line="288" w:lineRule="auto"/>
        <w:jc w:val="both"/>
      </w:pPr>
    </w:p>
    <w:p w:rsidR="007A7AD1" w:rsidRDefault="007A7AD1" w:rsidP="008212AB">
      <w:pPr>
        <w:spacing w:line="288" w:lineRule="auto"/>
        <w:jc w:val="both"/>
      </w:pPr>
      <w:r>
        <w:t>Yayında öne çıkan hususlar şu şekildedir:</w:t>
      </w:r>
    </w:p>
    <w:p w:rsidR="00486608" w:rsidRDefault="00486608" w:rsidP="008212AB">
      <w:pPr>
        <w:spacing w:line="288" w:lineRule="auto"/>
        <w:jc w:val="both"/>
      </w:pPr>
    </w:p>
    <w:p w:rsidR="007A7AD1" w:rsidRDefault="007A7AD1" w:rsidP="008212AB">
      <w:pPr>
        <w:numPr>
          <w:ilvl w:val="0"/>
          <w:numId w:val="1"/>
        </w:numPr>
        <w:spacing w:line="288" w:lineRule="auto"/>
        <w:jc w:val="both"/>
      </w:pPr>
      <w:r>
        <w:t>Ülkemizde internet kullanımı artmaya devam etmektedir.</w:t>
      </w:r>
      <w:r w:rsidRPr="001B2B25">
        <w:t xml:space="preserve"> </w:t>
      </w:r>
      <w:r>
        <w:t>Bun</w:t>
      </w:r>
      <w:r w:rsidR="00212672">
        <w:t>a göre, 16-74 yaş grubunda, 2004 yılında %13,3</w:t>
      </w:r>
      <w:r>
        <w:t xml:space="preserve"> olan son 3 ay içinde internet kullanım oranı 2010 yılında %37,6’ya ulaşmıştır. Son bir yıl içinde herhangi bir dönemdeki internet kullanım oranı ise</w:t>
      </w:r>
      <w:r w:rsidR="00E75A62">
        <w:t xml:space="preserve"> %</w:t>
      </w:r>
      <w:r>
        <w:t>41,6’dır. Toplumun farklı</w:t>
      </w:r>
      <w:r w:rsidR="00212672">
        <w:t xml:space="preserve"> kesimlerinde internet kullanım</w:t>
      </w:r>
      <w:r>
        <w:t xml:space="preserve"> oranları değişiklik göstermeye devam etmektedir.</w:t>
      </w:r>
    </w:p>
    <w:p w:rsidR="00486608" w:rsidRDefault="00D929F1" w:rsidP="008212AB">
      <w:pPr>
        <w:spacing w:line="288" w:lineRule="auto"/>
        <w:jc w:val="both"/>
      </w:pPr>
      <w:r>
        <w:rPr>
          <w:noProof/>
        </w:rPr>
        <w:drawing>
          <wp:inline distT="0" distB="0" distL="0" distR="0">
            <wp:extent cx="5760720" cy="3838739"/>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3838739"/>
                    </a:xfrm>
                    <a:prstGeom prst="rect">
                      <a:avLst/>
                    </a:prstGeom>
                    <a:noFill/>
                    <a:ln w="9525">
                      <a:noFill/>
                      <a:miter lim="800000"/>
                      <a:headEnd/>
                      <a:tailEnd/>
                    </a:ln>
                  </pic:spPr>
                </pic:pic>
              </a:graphicData>
            </a:graphic>
          </wp:inline>
        </w:drawing>
      </w:r>
    </w:p>
    <w:p w:rsidR="007A7AD1" w:rsidRDefault="007A7AD1" w:rsidP="008212AB">
      <w:pPr>
        <w:numPr>
          <w:ilvl w:val="0"/>
          <w:numId w:val="1"/>
        </w:numPr>
        <w:spacing w:line="288" w:lineRule="auto"/>
        <w:jc w:val="both"/>
      </w:pPr>
      <w:r>
        <w:t>Avrupa Birliği tarafından izlenen ve “her gün veya haftada en az bir defa internet kullandığını beyan edenlerin oranı” anlamına gelen düzenli internet kullanım oranı 2010 yılında %33,3 olup bu oran internet kullanıcılarının %88,5’ine karşılık gelmektedir.</w:t>
      </w:r>
    </w:p>
    <w:p w:rsidR="00430AD8" w:rsidRDefault="00D929F1" w:rsidP="00430AD8">
      <w:pPr>
        <w:spacing w:line="288" w:lineRule="auto"/>
        <w:jc w:val="center"/>
      </w:pPr>
      <w:r>
        <w:rPr>
          <w:noProof/>
        </w:rPr>
        <w:lastRenderedPageBreak/>
        <w:drawing>
          <wp:inline distT="0" distB="0" distL="0" distR="0">
            <wp:extent cx="5760720" cy="4146883"/>
            <wp:effectExtent l="19050" t="0" r="0"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60720" cy="4146883"/>
                    </a:xfrm>
                    <a:prstGeom prst="rect">
                      <a:avLst/>
                    </a:prstGeom>
                    <a:noFill/>
                    <a:ln w="9525">
                      <a:noFill/>
                      <a:miter lim="800000"/>
                      <a:headEnd/>
                      <a:tailEnd/>
                    </a:ln>
                  </pic:spPr>
                </pic:pic>
              </a:graphicData>
            </a:graphic>
          </wp:inline>
        </w:drawing>
      </w:r>
    </w:p>
    <w:p w:rsidR="007A7AD1" w:rsidRDefault="007A7AD1" w:rsidP="008212AB">
      <w:pPr>
        <w:spacing w:line="288" w:lineRule="auto"/>
        <w:jc w:val="both"/>
      </w:pPr>
    </w:p>
    <w:p w:rsidR="007A7AD1" w:rsidRDefault="007A7AD1" w:rsidP="008212AB">
      <w:pPr>
        <w:numPr>
          <w:ilvl w:val="0"/>
          <w:numId w:val="1"/>
        </w:numPr>
        <w:spacing w:line="288" w:lineRule="auto"/>
        <w:jc w:val="both"/>
      </w:pPr>
      <w:r>
        <w:t>Genel olarak internet kullanım amacı yıllar itibarıyla çok fazla değişiklik göstermemektedir. 2010 yılında internet kullanıcılarının en çok gerçekleştirdiği faaliyetler e-posta gönderme</w:t>
      </w:r>
      <w:r w:rsidR="00E75A62">
        <w:t>k</w:t>
      </w:r>
      <w:r>
        <w:t xml:space="preserve"> ve sohbet odaları, haber gruplar</w:t>
      </w:r>
      <w:r w:rsidR="00E75A62">
        <w:t>ı</w:t>
      </w:r>
      <w:r>
        <w:t xml:space="preserve"> veya çevrimiçi tartışma forumlarına mesaj iletme</w:t>
      </w:r>
      <w:r w:rsidR="00E75A62">
        <w:t>kt</w:t>
      </w:r>
      <w:r>
        <w:t>ir. İnternetin eğitim, alışveriş, bankacılık gibi amaçlarla kullanımı ise düşük düzeylerde kalmaktadır. Buna rağmen, 2010 yılında çevrimiçi bankacılık ve alışveriş oranlarındaki artış dikkat çekicidir.</w:t>
      </w:r>
    </w:p>
    <w:p w:rsidR="007A7AD1" w:rsidRDefault="007A7AD1" w:rsidP="008212AB">
      <w:pPr>
        <w:spacing w:line="288" w:lineRule="auto"/>
        <w:jc w:val="both"/>
      </w:pPr>
    </w:p>
    <w:p w:rsidR="007A7AD1" w:rsidRDefault="007A7AD1" w:rsidP="008212AB">
      <w:pPr>
        <w:numPr>
          <w:ilvl w:val="0"/>
          <w:numId w:val="1"/>
        </w:numPr>
        <w:spacing w:line="288" w:lineRule="auto"/>
        <w:jc w:val="both"/>
      </w:pPr>
      <w:r>
        <w:t xml:space="preserve">Evde bilgisayar sahipliği, internet erişimi ve genişbant aboneliği artış göstermeye devam etmektedir. Masaüstü bilgisayar, dizüstü bilgisayar veya el bilgisayarı olarak ele alındığında; 2010 yılında hanelerin %44,2’sinde bilgisayar bulunduğu, benzer yaklaşımla bilgisayar üstünden internet erişimine sahip hanelerin oranının da %34 olduğu görülmektedir. </w:t>
      </w:r>
      <w:r w:rsidR="00E75A62">
        <w:t>İ</w:t>
      </w:r>
      <w:r>
        <w:t>nternet bağlantısına sahip hanelerin %5,6’sı cep telefonu üstünden, %2,3’ü ise 3G modem üstünden internete eriş</w:t>
      </w:r>
      <w:r w:rsidR="00E75A62">
        <w:t>mektedir</w:t>
      </w:r>
      <w:r>
        <w:t>.</w:t>
      </w:r>
    </w:p>
    <w:p w:rsidR="007A7AD1" w:rsidRDefault="007A7AD1" w:rsidP="008212AB">
      <w:pPr>
        <w:spacing w:line="288" w:lineRule="auto"/>
        <w:jc w:val="both"/>
      </w:pPr>
    </w:p>
    <w:p w:rsidR="007A7AD1" w:rsidRDefault="007A7AD1" w:rsidP="008212AB">
      <w:pPr>
        <w:numPr>
          <w:ilvl w:val="0"/>
          <w:numId w:val="1"/>
        </w:numPr>
        <w:spacing w:line="288" w:lineRule="auto"/>
        <w:jc w:val="both"/>
      </w:pPr>
      <w:r>
        <w:t xml:space="preserve">Yaşanan artışa rağmen bilgisayar ve internet kullanımı açısından ülkemiz ile AB arasındaki fark devam etmektedir. 2010 yılında ülkemizde %33,3 olan düzenli internet kullanımı için AB-15 ve AB-25 ortalamaları sırasıyla %69 ve %67’dir. Düzenli internet kullanım oranları İzlanda’da %92, İngiltere’de %80, İtalya’da %48, Yunanistan’da %41 ve Romanya’da %34’tür. Benzer şekilde hanelerde genişbant internet sahipliği ülkemizde %33,8 iken AB-15 ve AB-25 için bu oranlar sırasıyla %64 ve %63’tür. Ülkeler ele alındığında; hanelerde genişbant internet sahipliği </w:t>
      </w:r>
      <w:r>
        <w:lastRenderedPageBreak/>
        <w:t xml:space="preserve">oranlarının Norveç’te %83, Almanya’da %75, İspanya’da %57, Bulgaristan’da %26 ve Romanya’da %23 olduğu görülmektedir.   </w:t>
      </w:r>
    </w:p>
    <w:p w:rsidR="007A7AD1" w:rsidRDefault="007A7AD1" w:rsidP="008212AB">
      <w:pPr>
        <w:spacing w:line="288" w:lineRule="auto"/>
        <w:ind w:left="720"/>
        <w:jc w:val="both"/>
      </w:pPr>
    </w:p>
    <w:p w:rsidR="007A7AD1" w:rsidRDefault="007A7AD1" w:rsidP="008212AB">
      <w:pPr>
        <w:numPr>
          <w:ilvl w:val="0"/>
          <w:numId w:val="1"/>
        </w:numPr>
        <w:spacing w:line="288" w:lineRule="auto"/>
        <w:jc w:val="both"/>
      </w:pPr>
      <w:r>
        <w:t>2010 yılında seçilmiş sektörlerde 10 ve daha fazla çalışanı olan girişimlerin %92,3’ü bilgisayar kullanmakta olup %90,9’u da internet erişimine sahiptir. İnternet erişimi olan girişimlerin %57,8’inin ise internet sayfası bulunmakta, büyüklük açısından bakıldığında bu oranın 10-49 çalışanı olan işletmelerde %53,5, 250 ve üzeri çalışanı olan girişimler için %88,8 olduğu görülmektedir.</w:t>
      </w:r>
    </w:p>
    <w:p w:rsidR="007A7AD1" w:rsidRDefault="007A7AD1" w:rsidP="008212AB">
      <w:pPr>
        <w:spacing w:line="288" w:lineRule="auto"/>
        <w:ind w:left="720"/>
        <w:jc w:val="both"/>
      </w:pPr>
    </w:p>
    <w:p w:rsidR="007A7AD1" w:rsidRDefault="007A7AD1" w:rsidP="008212AB">
      <w:pPr>
        <w:numPr>
          <w:ilvl w:val="0"/>
          <w:numId w:val="1"/>
        </w:numPr>
        <w:spacing w:line="288" w:lineRule="auto"/>
        <w:jc w:val="both"/>
      </w:pPr>
      <w:r>
        <w:t>Girişimlerde haftada en az bir kez internet kullanan çalışanların oranı 2010 yılında %28,5 olmuştur. Girişimlerin interneti kullanma amaçları arasında ilk sırada bankacılık ve finansal hizmetler gelmektedir. Yıllar itibarıyla birbirine yakın oranlarda gerçekleşen bankacılık ve finansal hizmetler kullanımı 2010 yılında %78,1 olmuştur.</w:t>
      </w:r>
    </w:p>
    <w:p w:rsidR="007A7AD1" w:rsidRDefault="00D929F1" w:rsidP="00D929F1">
      <w:pPr>
        <w:spacing w:line="288" w:lineRule="auto"/>
        <w:jc w:val="center"/>
      </w:pPr>
      <w:r>
        <w:rPr>
          <w:noProof/>
        </w:rPr>
        <w:drawing>
          <wp:inline distT="0" distB="0" distL="0" distR="0">
            <wp:extent cx="5760720" cy="4148752"/>
            <wp:effectExtent l="19050" t="0" r="0" b="0"/>
            <wp:docPr id="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60720" cy="4148752"/>
                    </a:xfrm>
                    <a:prstGeom prst="rect">
                      <a:avLst/>
                    </a:prstGeom>
                    <a:noFill/>
                    <a:ln w="9525">
                      <a:noFill/>
                      <a:miter lim="800000"/>
                      <a:headEnd/>
                      <a:tailEnd/>
                    </a:ln>
                  </pic:spPr>
                </pic:pic>
              </a:graphicData>
            </a:graphic>
          </wp:inline>
        </w:drawing>
      </w:r>
    </w:p>
    <w:p w:rsidR="007A7AD1" w:rsidRDefault="007A7AD1" w:rsidP="008212AB">
      <w:pPr>
        <w:numPr>
          <w:ilvl w:val="0"/>
          <w:numId w:val="1"/>
        </w:numPr>
        <w:spacing w:line="288" w:lineRule="auto"/>
        <w:jc w:val="both"/>
      </w:pPr>
      <w:r>
        <w:t xml:space="preserve">2010 yılında internet erişimi olan girişimlerde en çok kullanılan sabit internet bağlantı tipi %87,3 oranı ile DSL (ADSL vb.) olmuştur. Diğer taraftan, girişimlerde mobil hızlı internet bağlantısı sağlayan 3G teknolojisine de rağbet olduğu ve internet erişimine sahip girişimlerin %12,9’unun 3G modem, %11’inin ise 3G telefon üstünden genişbanta eriştiği görülmektedir.  </w:t>
      </w:r>
    </w:p>
    <w:p w:rsidR="007A7AD1" w:rsidRDefault="007A7AD1" w:rsidP="008212AB">
      <w:pPr>
        <w:spacing w:line="288" w:lineRule="auto"/>
        <w:ind w:left="720"/>
        <w:jc w:val="both"/>
      </w:pPr>
    </w:p>
    <w:p w:rsidR="007A7AD1" w:rsidRDefault="007A7AD1" w:rsidP="008212AB">
      <w:pPr>
        <w:numPr>
          <w:ilvl w:val="0"/>
          <w:numId w:val="1"/>
        </w:numPr>
        <w:spacing w:line="288" w:lineRule="auto"/>
        <w:jc w:val="both"/>
      </w:pPr>
      <w:r>
        <w:t>Girişimlerin internet üstünden sunduğu hizmetler arasında ilk sırada ürün katalogları ve fiyat listeleri yer almaktadır. 2008-2010 döneminde yakın oranlarda ilk sırada yer alan bu hizmetin oranı 2010 yılında %78,4’tür.</w:t>
      </w:r>
    </w:p>
    <w:p w:rsidR="007A7AD1" w:rsidRDefault="007A7AD1" w:rsidP="008212AB">
      <w:pPr>
        <w:spacing w:line="288" w:lineRule="auto"/>
        <w:ind w:left="720"/>
        <w:jc w:val="both"/>
      </w:pPr>
    </w:p>
    <w:p w:rsidR="007A7AD1" w:rsidRDefault="007A7AD1" w:rsidP="008212AB">
      <w:pPr>
        <w:numPr>
          <w:ilvl w:val="0"/>
          <w:numId w:val="1"/>
        </w:numPr>
        <w:spacing w:line="288" w:lineRule="auto"/>
        <w:jc w:val="both"/>
      </w:pPr>
      <w:r>
        <w:t>Bankalararası Kart Merkezinin verilerine göre internet üzerinden yapılan e-ticaret işlemleri toplam tutarı son bir yıl içinde %48,2’lik artışla 2010 yılında 15 milyar 225 milyon TL’ye ulaşmıştır.</w:t>
      </w:r>
    </w:p>
    <w:p w:rsidR="007A7AD1" w:rsidRDefault="00D929F1" w:rsidP="00972A32">
      <w:pPr>
        <w:spacing w:line="288" w:lineRule="auto"/>
        <w:ind w:left="720" w:hanging="720"/>
        <w:jc w:val="center"/>
      </w:pPr>
      <w:r>
        <w:rPr>
          <w:noProof/>
        </w:rPr>
        <w:drawing>
          <wp:inline distT="0" distB="0" distL="0" distR="0">
            <wp:extent cx="5760720" cy="4073908"/>
            <wp:effectExtent l="19050" t="0" r="0" b="0"/>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60720" cy="4073908"/>
                    </a:xfrm>
                    <a:prstGeom prst="rect">
                      <a:avLst/>
                    </a:prstGeom>
                    <a:noFill/>
                    <a:ln w="9525">
                      <a:noFill/>
                      <a:miter lim="800000"/>
                      <a:headEnd/>
                      <a:tailEnd/>
                    </a:ln>
                  </pic:spPr>
                </pic:pic>
              </a:graphicData>
            </a:graphic>
          </wp:inline>
        </w:drawing>
      </w:r>
    </w:p>
    <w:p w:rsidR="007A7AD1" w:rsidRDefault="007A7AD1" w:rsidP="008212AB">
      <w:pPr>
        <w:numPr>
          <w:ilvl w:val="0"/>
          <w:numId w:val="1"/>
        </w:numPr>
        <w:spacing w:line="288" w:lineRule="auto"/>
        <w:jc w:val="both"/>
      </w:pPr>
      <w:r>
        <w:t xml:space="preserve">2009 yılındaki küçük bir gerileme dışında, Türkiye’de girişimlerin internet erişimlerinde AB ülkeleri ile önemli bir yakınsama eğilimi görülmektedir. Nitekim ülkemizde girişimlerin internet erişimine sahiplik oranı büyük bir ilerleme kaydederek 2005 yılındaki %80,4 seviyesinden 2010 yılında %90,9’a ulaşmıştır. Girişimlerin genişbant internet erişimi sahipliği açısından ise ülkemiz 2010 yılında AB-15 </w:t>
      </w:r>
      <w:r w:rsidR="00E75A62">
        <w:t xml:space="preserve">(%88) </w:t>
      </w:r>
      <w:r>
        <w:t>ve AB-25</w:t>
      </w:r>
      <w:r w:rsidR="00E75A62">
        <w:t xml:space="preserve"> (%86) ortalamalarının da üstünde bir orana ulaşmıştır</w:t>
      </w:r>
      <w:r>
        <w:t xml:space="preserve">. </w:t>
      </w:r>
    </w:p>
    <w:p w:rsidR="007A7AD1" w:rsidRDefault="007A7AD1" w:rsidP="008212AB">
      <w:pPr>
        <w:spacing w:line="288" w:lineRule="auto"/>
        <w:ind w:left="720"/>
        <w:jc w:val="both"/>
      </w:pPr>
    </w:p>
    <w:p w:rsidR="007A7AD1" w:rsidRDefault="007A7AD1" w:rsidP="008212AB">
      <w:pPr>
        <w:numPr>
          <w:ilvl w:val="0"/>
          <w:numId w:val="1"/>
        </w:numPr>
        <w:spacing w:line="288" w:lineRule="auto"/>
        <w:jc w:val="both"/>
      </w:pPr>
      <w:r>
        <w:t xml:space="preserve">Yıllar itibarıyla bakıldığında bireylerin ve girişimlerin kamuyla işlemlerinde interneti kullanma oranlarının sınırlı düzeyde artış gösterdiği görülmekte, ancak girişimlerin bireylere nazaran kamu ile elektronik ortamda daha yoğun iletişim içerisinde oldukları anlaşılmaktadır. 2010 yılında bireylerin kamu kurumlarıyla iletişimde interneti kullanım oranı %27,2, 2009 yılında girişimlerin aynı amaçla interneti kullanım oranı ise %72,8’dir.  </w:t>
      </w:r>
    </w:p>
    <w:p w:rsidR="00D929F1" w:rsidRDefault="00D929F1" w:rsidP="00D929F1">
      <w:pPr>
        <w:spacing w:line="288" w:lineRule="auto"/>
        <w:ind w:left="720" w:hanging="720"/>
        <w:jc w:val="center"/>
        <w:rPr>
          <w:b/>
        </w:rPr>
      </w:pPr>
      <w:r>
        <w:rPr>
          <w:b/>
          <w:noProof/>
        </w:rPr>
        <w:lastRenderedPageBreak/>
        <w:drawing>
          <wp:inline distT="0" distB="0" distL="0" distR="0">
            <wp:extent cx="5760720" cy="4428132"/>
            <wp:effectExtent l="19050" t="0" r="0" b="0"/>
            <wp:docPr id="1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760720" cy="4428132"/>
                    </a:xfrm>
                    <a:prstGeom prst="rect">
                      <a:avLst/>
                    </a:prstGeom>
                    <a:noFill/>
                    <a:ln w="9525">
                      <a:noFill/>
                      <a:miter lim="800000"/>
                      <a:headEnd/>
                      <a:tailEnd/>
                    </a:ln>
                  </pic:spPr>
                </pic:pic>
              </a:graphicData>
            </a:graphic>
          </wp:inline>
        </w:drawing>
      </w:r>
    </w:p>
    <w:p w:rsidR="007A7AD1" w:rsidRDefault="007A7AD1" w:rsidP="008212AB">
      <w:pPr>
        <w:spacing w:line="288" w:lineRule="auto"/>
        <w:jc w:val="both"/>
      </w:pPr>
    </w:p>
    <w:p w:rsidR="007A7AD1" w:rsidRDefault="007A7AD1" w:rsidP="008212AB">
      <w:pPr>
        <w:numPr>
          <w:ilvl w:val="0"/>
          <w:numId w:val="1"/>
        </w:numPr>
        <w:spacing w:line="288" w:lineRule="auto"/>
        <w:jc w:val="both"/>
      </w:pPr>
      <w:r>
        <w:t>Hem bireyler hem de girişimler için kamu kurumlarıyla iletişimde interneti kullanım amaçları arasında ilk sırada bilgi edinme yer almaktadır. Yine hem bireyler hem de girişimler için e-devlet hizmetlerini kullanmama nedenleri arasında en çok belirtilen neden yüz yüze görüşmenin tercih edilmesidir. Diğer taraftan, güvenlik kaygısı bireyler</w:t>
      </w:r>
      <w:r w:rsidR="00B02792">
        <w:t>in e-devlet hizmetlerini kullan</w:t>
      </w:r>
      <w:r>
        <w:t>m</w:t>
      </w:r>
      <w:r w:rsidR="00B02792">
        <w:t>asının</w:t>
      </w:r>
      <w:r>
        <w:t xml:space="preserve"> önünde önemli bir engel teşkil etmezken, girişimlerde bilgi güvenliği ve korunmasına ilişkin kaygılar önemli bir sorun olarak öne çıkmaktadır.</w:t>
      </w:r>
    </w:p>
    <w:p w:rsidR="007A7AD1" w:rsidRDefault="007A7AD1" w:rsidP="008212AB">
      <w:pPr>
        <w:spacing w:line="288" w:lineRule="auto"/>
        <w:ind w:left="720"/>
        <w:jc w:val="both"/>
      </w:pPr>
    </w:p>
    <w:p w:rsidR="007A7AD1" w:rsidRDefault="007A7AD1" w:rsidP="008212AB">
      <w:pPr>
        <w:numPr>
          <w:ilvl w:val="0"/>
          <w:numId w:val="1"/>
        </w:numPr>
        <w:spacing w:line="288" w:lineRule="auto"/>
        <w:jc w:val="both"/>
      </w:pPr>
      <w:r>
        <w:t>Engellilere erişim imkanı sağlayan kamu internet siteleri oranı 2009’da %2,6 iken büyük bir artışla 2010 yılında %17,9’a ulaşmıştır.</w:t>
      </w:r>
    </w:p>
    <w:p w:rsidR="007A7AD1" w:rsidRDefault="007A7AD1" w:rsidP="008212AB">
      <w:pPr>
        <w:spacing w:line="288" w:lineRule="auto"/>
        <w:ind w:left="720"/>
        <w:jc w:val="both"/>
      </w:pPr>
    </w:p>
    <w:p w:rsidR="007A7AD1" w:rsidRDefault="00B02792" w:rsidP="008212AB">
      <w:pPr>
        <w:numPr>
          <w:ilvl w:val="0"/>
          <w:numId w:val="1"/>
        </w:numPr>
        <w:spacing w:line="288" w:lineRule="auto"/>
        <w:jc w:val="both"/>
      </w:pPr>
      <w:r>
        <w:t>AB 20 temel kamu hizmeti dikkate alındığında, k</w:t>
      </w:r>
      <w:r w:rsidR="007A7AD1">
        <w:t>amu hizmetlerinde elektronik kanallardan gerçekleşen işlemlerin oranı 2010 yılında %81,4 olarak önceki iki yıl değerlerinin üzerinde gerçekleşmiştir. Bu hizmetlerden birey olarak vatandaşa sunulan hizmetlerde elektronik ortamda gerçekleşme oranı %74,1, iş dünyasına yönelik hizmetlerdeki gerçekleşme seviyesi %88,1 olmuştur.</w:t>
      </w:r>
    </w:p>
    <w:p w:rsidR="007A7AD1" w:rsidRDefault="007A7AD1" w:rsidP="008212AB">
      <w:pPr>
        <w:spacing w:line="288" w:lineRule="auto"/>
        <w:ind w:left="720"/>
        <w:jc w:val="both"/>
      </w:pPr>
    </w:p>
    <w:p w:rsidR="007A7AD1" w:rsidRDefault="00866582" w:rsidP="008212AB">
      <w:pPr>
        <w:numPr>
          <w:ilvl w:val="0"/>
          <w:numId w:val="1"/>
        </w:numPr>
        <w:spacing w:line="288" w:lineRule="auto"/>
        <w:jc w:val="both"/>
      </w:pPr>
      <w:r>
        <w:t xml:space="preserve">18 Aralık 2008 tarihinde 22 hizmetle faaliyete geçen </w:t>
      </w:r>
      <w:r w:rsidR="00B02792">
        <w:t>e-Devlet K</w:t>
      </w:r>
      <w:r w:rsidR="007A7AD1">
        <w:t>apısın</w:t>
      </w:r>
      <w:r>
        <w:t>dan sunulan hizmet sayısı 2010 yılı sonunda 246’ya ulaşmıştır. Öte yandan, e-</w:t>
      </w:r>
      <w:r w:rsidR="00B02792">
        <w:t>Devlet K</w:t>
      </w:r>
      <w:r>
        <w:t xml:space="preserve">apısı kullanıcı sayısında önemli artışlar gerçekleşmiş, </w:t>
      </w:r>
      <w:r w:rsidR="00153433">
        <w:t>2008 yılında 10</w:t>
      </w:r>
      <w:r w:rsidR="00B02792">
        <w:t xml:space="preserve"> bin civarında</w:t>
      </w:r>
      <w:r w:rsidR="00153433">
        <w:t xml:space="preserve"> olan </w:t>
      </w:r>
      <w:r w:rsidR="00153433">
        <w:lastRenderedPageBreak/>
        <w:t xml:space="preserve">kayıtlı kullanıcı sayısı </w:t>
      </w:r>
      <w:r>
        <w:t xml:space="preserve">2010 yılı sonunda 1,95 milyon, 2011 yılı </w:t>
      </w:r>
      <w:r w:rsidR="00D94C15">
        <w:t>M</w:t>
      </w:r>
      <w:r>
        <w:t xml:space="preserve">ayıs ayı başında </w:t>
      </w:r>
      <w:r w:rsidR="00153433">
        <w:t xml:space="preserve">ise </w:t>
      </w:r>
      <w:r>
        <w:t>7,14 milyon</w:t>
      </w:r>
      <w:r w:rsidR="00153433">
        <w:t>a</w:t>
      </w:r>
      <w:r>
        <w:t xml:space="preserve"> ulaşmıştır. </w:t>
      </w:r>
    </w:p>
    <w:p w:rsidR="007A7AD1" w:rsidRDefault="007A7AD1" w:rsidP="008212AB">
      <w:pPr>
        <w:spacing w:line="288" w:lineRule="auto"/>
        <w:jc w:val="both"/>
      </w:pPr>
    </w:p>
    <w:p w:rsidR="007A7AD1" w:rsidRDefault="007A7AD1" w:rsidP="008212AB">
      <w:pPr>
        <w:numPr>
          <w:ilvl w:val="0"/>
          <w:numId w:val="1"/>
        </w:numPr>
        <w:spacing w:line="288" w:lineRule="auto"/>
        <w:jc w:val="both"/>
      </w:pPr>
      <w:r>
        <w:t xml:space="preserve">e-Devlet uygulamaları kamu kurumlarının çağdaş hizmet sunumunun bir aracı olarak kamu harcamalarında tasarruf ve maliyet etkinliği sağlamaktadır. UYAP’ın 23 ayrı uygulaması ile projenin başlangıcından Nisan 2011’e kadar yaklaşık 1,6 milyar TL tasarruf edilmiş olup bunun yaklaşık 705 milyon TL’lik kısmı MERNİS ile entegrasyon sayesinde gerçekleşmiştir. Sosyal Yardım Bilgi </w:t>
      </w:r>
      <w:r w:rsidR="00866582">
        <w:t>S</w:t>
      </w:r>
      <w:r>
        <w:t>istemi (SOYBİS) çerçevesinde sadece 3 belgenin elektronik ortamda takibi ile kırtasiye ve ulaşım giderlerinden 201</w:t>
      </w:r>
      <w:r w:rsidR="00D94C15">
        <w:t>0</w:t>
      </w:r>
      <w:r>
        <w:t xml:space="preserve"> yılında 11,8 milyon T</w:t>
      </w:r>
      <w:r w:rsidR="00D94C15">
        <w:t>L tasarruf sağlanmıştır. Araç Tesc</w:t>
      </w:r>
      <w:r>
        <w:t>il ve Sürücü Belgesi İşlemleri (ASBİS) Projesi ile ikinci el araçların alım satımının noterlerde elektronik ortamda gerçekleştirilmesiyle sadece bazı formların işlemden kaldırılması sayesinde bir yılda vatandaşların ödemesi gereken 21,9 milyon TL tasarruf edilmiştir. 2008-2010 döneminde uygulanan Elektronik Fat</w:t>
      </w:r>
      <w:r w:rsidR="00D94C15">
        <w:t>ura Kayıt sistemi ve 2010 yılı K</w:t>
      </w:r>
      <w:r>
        <w:t>asım ayında uygulamaya konan e-fatura uygulama</w:t>
      </w:r>
      <w:r w:rsidR="00D94C15">
        <w:t>sı ile 2008 yılından 2011 yılı M</w:t>
      </w:r>
      <w:r>
        <w:t xml:space="preserve">ayıs ayına kadar 218,5 milyon TL tasarruf sağlanmıştır.    </w:t>
      </w:r>
    </w:p>
    <w:p w:rsidR="007A7AD1" w:rsidRDefault="007A7AD1" w:rsidP="008212AB">
      <w:pPr>
        <w:spacing w:line="288" w:lineRule="auto"/>
        <w:ind w:left="720"/>
        <w:jc w:val="both"/>
      </w:pPr>
    </w:p>
    <w:p w:rsidR="007A7AD1" w:rsidRDefault="007A7AD1" w:rsidP="008212AB">
      <w:pPr>
        <w:numPr>
          <w:ilvl w:val="0"/>
          <w:numId w:val="1"/>
        </w:numPr>
        <w:spacing w:line="288" w:lineRule="auto"/>
        <w:jc w:val="both"/>
      </w:pPr>
      <w:r>
        <w:t xml:space="preserve">Türkiye’de merkezi kamu kurumlarının BİT yatırımları için 2002-2011 döneminde toplam 9,6 milyar TL ödenek ayrılmıştır. </w:t>
      </w:r>
      <w:r w:rsidR="00D94C15">
        <w:t xml:space="preserve">2011 yılında kamu BİT yatırımları için ayrılan ödenek tutarı 2 milyar TL’yi aşmıştır. </w:t>
      </w:r>
      <w:r>
        <w:t>Bütçesi içinde ve zamanında tamamlanan BİT projeleri oranı 2009 yılında %24,2, 2010 yılında ise %24,4 olmuştur.</w:t>
      </w:r>
    </w:p>
    <w:p w:rsidR="007A47DA" w:rsidRDefault="007A47DA" w:rsidP="008212AB">
      <w:pPr>
        <w:spacing w:line="288" w:lineRule="auto"/>
        <w:ind w:left="720"/>
        <w:jc w:val="both"/>
      </w:pPr>
    </w:p>
    <w:p w:rsidR="00430AD8" w:rsidRDefault="00D929F1" w:rsidP="00972A32">
      <w:pPr>
        <w:spacing w:line="288" w:lineRule="auto"/>
        <w:ind w:left="720" w:hanging="720"/>
        <w:jc w:val="center"/>
        <w:rPr>
          <w:b/>
        </w:rPr>
      </w:pPr>
      <w:r>
        <w:rPr>
          <w:b/>
          <w:noProof/>
        </w:rPr>
        <w:drawing>
          <wp:inline distT="0" distB="0" distL="0" distR="0">
            <wp:extent cx="5760720" cy="3771592"/>
            <wp:effectExtent l="19050" t="0" r="0" b="0"/>
            <wp:docPr id="1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760720" cy="3771592"/>
                    </a:xfrm>
                    <a:prstGeom prst="rect">
                      <a:avLst/>
                    </a:prstGeom>
                    <a:noFill/>
                    <a:ln w="9525">
                      <a:noFill/>
                      <a:miter lim="800000"/>
                      <a:headEnd/>
                      <a:tailEnd/>
                    </a:ln>
                  </pic:spPr>
                </pic:pic>
              </a:graphicData>
            </a:graphic>
          </wp:inline>
        </w:drawing>
      </w:r>
    </w:p>
    <w:p w:rsidR="00430AD8" w:rsidRDefault="00430AD8" w:rsidP="00430AD8">
      <w:pPr>
        <w:spacing w:line="288" w:lineRule="auto"/>
        <w:ind w:left="720"/>
        <w:jc w:val="center"/>
        <w:rPr>
          <w:b/>
        </w:rPr>
      </w:pPr>
    </w:p>
    <w:p w:rsidR="007A47DA" w:rsidRDefault="007A47DA" w:rsidP="008212AB">
      <w:pPr>
        <w:numPr>
          <w:ilvl w:val="0"/>
          <w:numId w:val="1"/>
        </w:numPr>
        <w:spacing w:line="288" w:lineRule="auto"/>
        <w:jc w:val="both"/>
      </w:pPr>
      <w:r>
        <w:lastRenderedPageBreak/>
        <w:t xml:space="preserve">AB tarafından 2001 yılından itibaren düzenli olarak gerçekleştirilen e-Devlet Ölçümleme ve Kıyaslama Çalışmasının 9.’su 2010 yılında gerçekleştirilmiş ve çalışmada 27 AB üyesi ülke ile Türkiye, Hırvatistan, İzlanda, Norveç ve İsviçre’nin yer aldığı 32 ülke (AB27+) kapsanmıştır. Çalışmaya göre </w:t>
      </w:r>
      <w:r w:rsidRPr="007A47DA">
        <w:t xml:space="preserve">Türkiye, 20 temel kamu hizmetinin tamamen elektronik ortama taşınmasında </w:t>
      </w:r>
      <w:r>
        <w:t>%</w:t>
      </w:r>
      <w:r w:rsidRPr="007A47DA">
        <w:t xml:space="preserve">89 ile </w:t>
      </w:r>
      <w:r>
        <w:t>%</w:t>
      </w:r>
      <w:r w:rsidRPr="007A47DA">
        <w:t xml:space="preserve">82 olan AB27+ ortalamasının üzerinde bir değer elde etmiştir. Aynı şekilde, hizmetlerin olgunluk seviyesinde ülkemiz </w:t>
      </w:r>
      <w:r>
        <w:t>%</w:t>
      </w:r>
      <w:r w:rsidRPr="007A47DA">
        <w:t xml:space="preserve"> 91 ile </w:t>
      </w:r>
      <w:r>
        <w:t>%</w:t>
      </w:r>
      <w:r w:rsidRPr="007A47DA">
        <w:t>90 olan AB27+ ortalamasının üzerinde bir seviyeyi yakalamıştır.</w:t>
      </w:r>
    </w:p>
    <w:p w:rsidR="007A7AD1" w:rsidRDefault="007A7AD1" w:rsidP="008212AB">
      <w:pPr>
        <w:spacing w:line="288" w:lineRule="auto"/>
        <w:ind w:left="720"/>
        <w:jc w:val="both"/>
      </w:pPr>
    </w:p>
    <w:p w:rsidR="007A7AD1" w:rsidRDefault="00A470DE" w:rsidP="008212AB">
      <w:pPr>
        <w:numPr>
          <w:ilvl w:val="0"/>
          <w:numId w:val="1"/>
        </w:numPr>
        <w:spacing w:line="288" w:lineRule="auto"/>
        <w:jc w:val="both"/>
      </w:pPr>
      <w:r>
        <w:t>2008 yılı sonu itibarıyla 24,88 milyar ABD Doları olan Türkiye BİT sektörü, global kriz döneminde daralmakla birlikte, 2010 yılında %4,5 büyümüş ve 25,05 milyar ABD Doları seviyesine ulaşmıştır. Pazar içinde iletişim teknolojileri ve bilgi teknolojileri alt sektörlerinin büyüklükleri sırasıyla 17,48 ve</w:t>
      </w:r>
      <w:r w:rsidR="00D94C15">
        <w:t xml:space="preserve"> </w:t>
      </w:r>
      <w:r>
        <w:t>7,57 milyar ABD Dolarıdır. Kriz döneminde de büyümeye devam eden bilgi teknolojileri sektörünün payı ilk kez %30’a ulaşmıştır.</w:t>
      </w:r>
    </w:p>
    <w:p w:rsidR="00A470DE" w:rsidRDefault="00A470DE" w:rsidP="008212AB">
      <w:pPr>
        <w:spacing w:line="288" w:lineRule="auto"/>
        <w:ind w:left="720"/>
        <w:jc w:val="both"/>
      </w:pPr>
    </w:p>
    <w:p w:rsidR="00A470DE" w:rsidRDefault="00A470DE" w:rsidP="008212AB">
      <w:pPr>
        <w:numPr>
          <w:ilvl w:val="0"/>
          <w:numId w:val="1"/>
        </w:numPr>
        <w:spacing w:line="288" w:lineRule="auto"/>
        <w:jc w:val="both"/>
      </w:pPr>
      <w:r>
        <w:t xml:space="preserve">2010 yılında </w:t>
      </w:r>
      <w:r w:rsidR="002D377C">
        <w:t xml:space="preserve">bir önceki yıla göre </w:t>
      </w:r>
      <w:r>
        <w:t>iletişim teknolojileri sektörü %1,04, bilgi teknolojileri</w:t>
      </w:r>
      <w:r w:rsidR="002D377C">
        <w:t xml:space="preserve"> sektörü ise %13,66 büyümüştür. Bilgi teknolojileri pazarındaki büyümede en büyük </w:t>
      </w:r>
      <w:r w:rsidR="00436F1C">
        <w:t>pay</w:t>
      </w:r>
      <w:r w:rsidR="002D377C">
        <w:t xml:space="preserve"> %21,98 oranıyla hizmetler alt sektörüne aittir. </w:t>
      </w:r>
    </w:p>
    <w:p w:rsidR="00A470DE" w:rsidRDefault="00A470DE" w:rsidP="008212AB">
      <w:pPr>
        <w:spacing w:line="288" w:lineRule="auto"/>
        <w:ind w:left="720"/>
        <w:jc w:val="both"/>
      </w:pPr>
    </w:p>
    <w:p w:rsidR="00436F1C" w:rsidRDefault="00436F1C" w:rsidP="008212AB">
      <w:pPr>
        <w:numPr>
          <w:ilvl w:val="0"/>
          <w:numId w:val="1"/>
        </w:numPr>
        <w:spacing w:line="288" w:lineRule="auto"/>
        <w:jc w:val="both"/>
      </w:pPr>
      <w:r>
        <w:t>2010 yılında iletişim teknolojileri ve bilgi teknolojileri sektörlerinin GSYH içindeki payı sırasıyla %2,37 ve %1,03’tür. Bilgi teknolojileri sektörü içinde bu payın %0,83’lük bölümü donanım alt sektörüne aittir.</w:t>
      </w:r>
    </w:p>
    <w:p w:rsidR="00436F1C" w:rsidRDefault="00436F1C" w:rsidP="008212AB">
      <w:pPr>
        <w:spacing w:line="288" w:lineRule="auto"/>
        <w:ind w:left="720"/>
        <w:jc w:val="both"/>
      </w:pPr>
    </w:p>
    <w:p w:rsidR="007A7AD1" w:rsidRDefault="00727525" w:rsidP="008212AB">
      <w:pPr>
        <w:numPr>
          <w:ilvl w:val="0"/>
          <w:numId w:val="1"/>
        </w:numPr>
        <w:spacing w:line="288" w:lineRule="auto"/>
        <w:jc w:val="both"/>
      </w:pPr>
      <w:r>
        <w:t>2010 yılında BİT sektörü donanım ihracatı %14,1, ithalatı ise %16,5 büyümüştür. Ancak, ihracatın ithalatı karşılama oranı %10,4’te kalmış olup bu oran 2007-2010 dönemindeki en düşük değerdir.</w:t>
      </w:r>
    </w:p>
    <w:p w:rsidR="00727525" w:rsidRDefault="00727525" w:rsidP="008212AB">
      <w:pPr>
        <w:spacing w:line="288" w:lineRule="auto"/>
        <w:ind w:left="720"/>
        <w:jc w:val="both"/>
      </w:pPr>
    </w:p>
    <w:p w:rsidR="00727525" w:rsidRDefault="00727525" w:rsidP="008212AB">
      <w:pPr>
        <w:numPr>
          <w:ilvl w:val="0"/>
          <w:numId w:val="1"/>
        </w:numPr>
        <w:spacing w:line="288" w:lineRule="auto"/>
        <w:jc w:val="both"/>
      </w:pPr>
      <w:r>
        <w:t xml:space="preserve">2003 yılında BİT sektörü genelinde 145.227 kişi istihdam edilirken, 2008 yılında 174.367’ye ulaşılmıştır. BİT sektöründe Ar-Ge çalışanlarının oranı ise % 5,5’tir. </w:t>
      </w:r>
    </w:p>
    <w:p w:rsidR="007A7AD1" w:rsidRDefault="007A7AD1" w:rsidP="008212AB">
      <w:pPr>
        <w:spacing w:line="288" w:lineRule="auto"/>
        <w:ind w:left="720"/>
        <w:jc w:val="both"/>
      </w:pPr>
      <w:r>
        <w:t xml:space="preserve"> </w:t>
      </w:r>
    </w:p>
    <w:p w:rsidR="00727525" w:rsidRDefault="00727525" w:rsidP="008212AB">
      <w:pPr>
        <w:numPr>
          <w:ilvl w:val="0"/>
          <w:numId w:val="1"/>
        </w:numPr>
        <w:spacing w:line="288" w:lineRule="auto"/>
        <w:jc w:val="both"/>
      </w:pPr>
      <w:r>
        <w:t>Sabit telefon abone yoğunluğu 2</w:t>
      </w:r>
      <w:r w:rsidR="00570DF1">
        <w:t xml:space="preserve">002 yılında %27 iken 2010 yılı sonunda %22 seviyesine düşmüştür. Cep telefonu abone yoğunluğu ise kaydedilen hızlı gelişmeyle 2008 yılı sonunda %92,1’e ulaşmış, ancak numara taşınabilirliği uygulamasının devreye alınması ve her yöne tarifeler sayesinde bazı kullanıcıların ikinci hatlarını iptal etmesi sonucu 2010 yılı sonunda %83,9’a gerilemiştir. </w:t>
      </w:r>
    </w:p>
    <w:p w:rsidR="00570DF1" w:rsidRDefault="00570DF1" w:rsidP="008212AB">
      <w:pPr>
        <w:spacing w:line="288" w:lineRule="auto"/>
        <w:ind w:left="720"/>
        <w:jc w:val="both"/>
      </w:pPr>
    </w:p>
    <w:p w:rsidR="003404C4" w:rsidRDefault="00570DF1" w:rsidP="008212AB">
      <w:pPr>
        <w:numPr>
          <w:ilvl w:val="0"/>
          <w:numId w:val="1"/>
        </w:numPr>
        <w:spacing w:line="288" w:lineRule="auto"/>
        <w:jc w:val="both"/>
      </w:pPr>
      <w:r>
        <w:t>Genişbant abone yoğunluğunda 2002 yılında</w:t>
      </w:r>
      <w:r w:rsidR="00D94C15">
        <w:t>n</w:t>
      </w:r>
      <w:r>
        <w:t xml:space="preserve"> bu yana artış devam etmekte olup 2010 yılında 8,6 milyon aboneye ve %11,6’lık penetrasyona ulaşılmıştır.</w:t>
      </w:r>
      <w:r w:rsidR="003404C4">
        <w:t xml:space="preserve"> Kablo TV abone sayısı ise uzun zamandır 1,2-1,4 milyon bandında seyretmekte, abone sayısının düşük düzeyde kalmasında kablo TV altyapısı yaygınlığının sınırlı olması ve daha fazla </w:t>
      </w:r>
      <w:r w:rsidR="003404C4">
        <w:lastRenderedPageBreak/>
        <w:t>kanal seçeneği sunan uydu platformunun kullanıcılar tarafından tercih edilmesi etkili olmaktadır.</w:t>
      </w:r>
    </w:p>
    <w:p w:rsidR="00972A32" w:rsidRDefault="00972A32" w:rsidP="00430AD8">
      <w:pPr>
        <w:spacing w:line="288" w:lineRule="auto"/>
        <w:jc w:val="center"/>
        <w:rPr>
          <w:b/>
        </w:rPr>
      </w:pPr>
      <w:r>
        <w:rPr>
          <w:b/>
          <w:noProof/>
        </w:rPr>
        <w:drawing>
          <wp:inline distT="0" distB="0" distL="0" distR="0">
            <wp:extent cx="5760720" cy="4308746"/>
            <wp:effectExtent l="19050" t="0" r="0" b="0"/>
            <wp:docPr id="1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60720" cy="4308746"/>
                    </a:xfrm>
                    <a:prstGeom prst="rect">
                      <a:avLst/>
                    </a:prstGeom>
                    <a:noFill/>
                    <a:ln w="9525">
                      <a:noFill/>
                      <a:miter lim="800000"/>
                      <a:headEnd/>
                      <a:tailEnd/>
                    </a:ln>
                  </pic:spPr>
                </pic:pic>
              </a:graphicData>
            </a:graphic>
          </wp:inline>
        </w:drawing>
      </w:r>
    </w:p>
    <w:p w:rsidR="00F442CD" w:rsidRDefault="00F442CD" w:rsidP="008212AB">
      <w:pPr>
        <w:spacing w:line="288" w:lineRule="auto"/>
        <w:ind w:left="720"/>
        <w:jc w:val="both"/>
      </w:pPr>
    </w:p>
    <w:p w:rsidR="00570DF1" w:rsidRDefault="003404C4" w:rsidP="008212AB">
      <w:pPr>
        <w:numPr>
          <w:ilvl w:val="0"/>
          <w:numId w:val="1"/>
        </w:numPr>
        <w:spacing w:line="288" w:lineRule="auto"/>
        <w:jc w:val="both"/>
      </w:pPr>
      <w:r>
        <w:t>Ülkemizde genişbant erişim için en yaygın kullanılan teknoloji DSL teknolojisidir. Diğer taraftan, 3G mobil genişbant hizmetlerinin sunulmaya başlandığı 2009 yılından itibaren bu teknolojinin kullanımı da hızla artmıştır. Ayrıca, fiber genişbant erişim hizmetlerinin kullanımı da 2010 yılında hızlı bir büyüme kaydetmiştir. Ancak, bu teknolojiyi kullanan toplam abone sayısı henüz oldukça düşük seviyededir</w:t>
      </w:r>
      <w:r w:rsidR="00486608">
        <w:t>.</w:t>
      </w:r>
    </w:p>
    <w:p w:rsidR="003404C4" w:rsidRDefault="007A7AD1" w:rsidP="008212AB">
      <w:pPr>
        <w:spacing w:line="288" w:lineRule="auto"/>
        <w:jc w:val="both"/>
      </w:pPr>
      <w:r>
        <w:t xml:space="preserve">    </w:t>
      </w:r>
    </w:p>
    <w:p w:rsidR="00F442CD" w:rsidRDefault="003404C4" w:rsidP="008212AB">
      <w:pPr>
        <w:numPr>
          <w:ilvl w:val="0"/>
          <w:numId w:val="1"/>
        </w:numPr>
        <w:spacing w:line="288" w:lineRule="auto"/>
        <w:jc w:val="both"/>
      </w:pPr>
      <w:r>
        <w:t>2010 yılında, 2009 yılına kıyasla, sabit telefon hizmetlerine ilişkin tarife sepetlerinde kayda değer bir artış gözlenmektedir.</w:t>
      </w:r>
      <w:r w:rsidR="00F442CD">
        <w:t xml:space="preserve"> Bu artış kısmen Türk Lirasının bir önceki yıla göre ABD Doları karşısında değer kazanmasından, kısmen de sabit telefon tarifelerindeki indirimli uygulamanın 2010 yılı başında kaldırılmasından kaynaklanmaktadır. Diğer taraftan, mobil hizmetlere ilişkin sepetin fiyatında 2010 yılında bir önceki yıla göre %21 oranında düşüş gerçekleşmiştir. Bu durum, mobil işletmeciler arasındaki yoğun rekabetin hizmet fiyatlarına da yansıdığına işaret etmektedir.</w:t>
      </w:r>
    </w:p>
    <w:p w:rsidR="00972A32" w:rsidRDefault="00972A32" w:rsidP="00972A32">
      <w:pPr>
        <w:spacing w:line="288" w:lineRule="auto"/>
        <w:jc w:val="center"/>
      </w:pPr>
      <w:r>
        <w:rPr>
          <w:noProof/>
        </w:rPr>
        <w:lastRenderedPageBreak/>
        <w:drawing>
          <wp:inline distT="0" distB="0" distL="0" distR="0">
            <wp:extent cx="5760720" cy="2945882"/>
            <wp:effectExtent l="19050" t="0" r="0" b="0"/>
            <wp:docPr id="1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760720" cy="2945882"/>
                    </a:xfrm>
                    <a:prstGeom prst="rect">
                      <a:avLst/>
                    </a:prstGeom>
                    <a:noFill/>
                    <a:ln w="9525">
                      <a:noFill/>
                      <a:miter lim="800000"/>
                      <a:headEnd/>
                      <a:tailEnd/>
                    </a:ln>
                  </pic:spPr>
                </pic:pic>
              </a:graphicData>
            </a:graphic>
          </wp:inline>
        </w:drawing>
      </w:r>
    </w:p>
    <w:p w:rsidR="003404C4" w:rsidRDefault="006E67FE" w:rsidP="008212AB">
      <w:pPr>
        <w:numPr>
          <w:ilvl w:val="0"/>
          <w:numId w:val="1"/>
        </w:numPr>
        <w:spacing w:line="288" w:lineRule="auto"/>
        <w:jc w:val="both"/>
      </w:pPr>
      <w:r>
        <w:t xml:space="preserve">2010 yılında ülkemizde %11,6 olan genişbant abone yoğunluğu, </w:t>
      </w:r>
      <w:r w:rsidR="00F442CD">
        <w:t xml:space="preserve">2009 yılı sonu itibarıyla </w:t>
      </w:r>
      <w:r>
        <w:t xml:space="preserve">%30 civarında olan </w:t>
      </w:r>
      <w:r w:rsidR="00F442CD">
        <w:t xml:space="preserve">AB-27 </w:t>
      </w:r>
      <w:r>
        <w:t xml:space="preserve">ortalamasının oldukça altında kalmaktadır. Genişbant abone yoğunluğu bakımından ülkemiz OECD </w:t>
      </w:r>
      <w:r w:rsidR="00F442CD">
        <w:t>ülkeleri</w:t>
      </w:r>
      <w:r>
        <w:t xml:space="preserve"> ile kıyaslandığında Meksika ile birlikte son sırada yer almaktadır. </w:t>
      </w:r>
      <w:r w:rsidR="0087344E">
        <w:t xml:space="preserve">OECD ortalaması </w:t>
      </w:r>
      <w:r>
        <w:t>2010 yılı Haziran ayı itibarıyla %57,2’dir.</w:t>
      </w:r>
      <w:r w:rsidR="00F442CD">
        <w:t xml:space="preserve"> </w:t>
      </w:r>
      <w:r w:rsidR="003404C4">
        <w:t xml:space="preserve"> </w:t>
      </w:r>
    </w:p>
    <w:sectPr w:rsidR="003404C4" w:rsidSect="00300EA6">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5F" w:rsidRDefault="00B47D5F" w:rsidP="00E75A62">
      <w:r>
        <w:separator/>
      </w:r>
    </w:p>
  </w:endnote>
  <w:endnote w:type="continuationSeparator" w:id="1">
    <w:p w:rsidR="00B47D5F" w:rsidRDefault="00B47D5F" w:rsidP="00E75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7954"/>
      <w:docPartObj>
        <w:docPartGallery w:val="Page Numbers (Bottom of Page)"/>
        <w:docPartUnique/>
      </w:docPartObj>
    </w:sdtPr>
    <w:sdtContent>
      <w:p w:rsidR="00E75A62" w:rsidRDefault="00E75A62">
        <w:pPr>
          <w:pStyle w:val="Altbilgi"/>
          <w:jc w:val="center"/>
        </w:pPr>
        <w:fldSimple w:instr=" PAGE   \* MERGEFORMAT ">
          <w:r w:rsidR="00972A32">
            <w:rPr>
              <w:noProof/>
            </w:rPr>
            <w:t>1</w:t>
          </w:r>
        </w:fldSimple>
      </w:p>
    </w:sdtContent>
  </w:sdt>
  <w:p w:rsidR="00E75A62" w:rsidRDefault="00E75A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5F" w:rsidRDefault="00B47D5F" w:rsidP="00E75A62">
      <w:r>
        <w:separator/>
      </w:r>
    </w:p>
  </w:footnote>
  <w:footnote w:type="continuationSeparator" w:id="1">
    <w:p w:rsidR="00B47D5F" w:rsidRDefault="00B47D5F" w:rsidP="00E75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61D88"/>
    <w:multiLevelType w:val="hybridMultilevel"/>
    <w:tmpl w:val="410E3546"/>
    <w:lvl w:ilvl="0" w:tplc="062AB36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7AD1"/>
    <w:rsid w:val="00153433"/>
    <w:rsid w:val="00212672"/>
    <w:rsid w:val="00227249"/>
    <w:rsid w:val="002D377C"/>
    <w:rsid w:val="00300EA6"/>
    <w:rsid w:val="003404C4"/>
    <w:rsid w:val="00430AD8"/>
    <w:rsid w:val="00436F1C"/>
    <w:rsid w:val="00486608"/>
    <w:rsid w:val="00503E7D"/>
    <w:rsid w:val="00565C94"/>
    <w:rsid w:val="00570DF1"/>
    <w:rsid w:val="0061244F"/>
    <w:rsid w:val="006E67FE"/>
    <w:rsid w:val="00727525"/>
    <w:rsid w:val="007A47DA"/>
    <w:rsid w:val="007A7AD1"/>
    <w:rsid w:val="008212AB"/>
    <w:rsid w:val="00866582"/>
    <w:rsid w:val="0087344E"/>
    <w:rsid w:val="00972A32"/>
    <w:rsid w:val="00A470DE"/>
    <w:rsid w:val="00B02792"/>
    <w:rsid w:val="00B47D5F"/>
    <w:rsid w:val="00C16F18"/>
    <w:rsid w:val="00D929F1"/>
    <w:rsid w:val="00D94C15"/>
    <w:rsid w:val="00D96E95"/>
    <w:rsid w:val="00DC57E4"/>
    <w:rsid w:val="00E75A62"/>
    <w:rsid w:val="00EA0125"/>
    <w:rsid w:val="00F442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righ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D1"/>
    <w:pPr>
      <w:spacing w:before="0" w:after="0" w:line="240" w:lineRule="auto"/>
      <w:ind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6608"/>
    <w:rPr>
      <w:rFonts w:ascii="Tahoma" w:hAnsi="Tahoma" w:cs="Tahoma"/>
      <w:sz w:val="16"/>
      <w:szCs w:val="16"/>
    </w:rPr>
  </w:style>
  <w:style w:type="character" w:customStyle="1" w:styleId="BalonMetniChar">
    <w:name w:val="Balon Metni Char"/>
    <w:basedOn w:val="VarsaylanParagrafYazTipi"/>
    <w:link w:val="BalonMetni"/>
    <w:uiPriority w:val="99"/>
    <w:semiHidden/>
    <w:rsid w:val="00486608"/>
    <w:rPr>
      <w:rFonts w:ascii="Tahoma" w:eastAsia="Times New Roman" w:hAnsi="Tahoma" w:cs="Tahoma"/>
      <w:sz w:val="16"/>
      <w:szCs w:val="16"/>
      <w:lang w:eastAsia="tr-TR"/>
    </w:rPr>
  </w:style>
  <w:style w:type="paragraph" w:customStyle="1" w:styleId="metin">
    <w:name w:val="metin"/>
    <w:basedOn w:val="Normal"/>
    <w:uiPriority w:val="99"/>
    <w:rsid w:val="00486608"/>
    <w:pPr>
      <w:spacing w:before="60" w:after="60" w:line="300" w:lineRule="atLeast"/>
      <w:ind w:firstLine="567"/>
      <w:jc w:val="both"/>
    </w:pPr>
    <w:rPr>
      <w:rFonts w:ascii="Calibri" w:eastAsia="MS Mincho" w:hAnsi="Calibri"/>
      <w:lang w:eastAsia="en-US"/>
    </w:rPr>
  </w:style>
  <w:style w:type="paragraph" w:styleId="stbilgi">
    <w:name w:val="header"/>
    <w:basedOn w:val="Normal"/>
    <w:link w:val="stbilgiChar"/>
    <w:uiPriority w:val="99"/>
    <w:semiHidden/>
    <w:unhideWhenUsed/>
    <w:rsid w:val="00E75A62"/>
    <w:pPr>
      <w:tabs>
        <w:tab w:val="center" w:pos="4536"/>
        <w:tab w:val="right" w:pos="9072"/>
      </w:tabs>
    </w:pPr>
  </w:style>
  <w:style w:type="character" w:customStyle="1" w:styleId="stbilgiChar">
    <w:name w:val="Üstbilgi Char"/>
    <w:basedOn w:val="VarsaylanParagrafYazTipi"/>
    <w:link w:val="stbilgi"/>
    <w:uiPriority w:val="99"/>
    <w:semiHidden/>
    <w:rsid w:val="00E75A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75A62"/>
    <w:pPr>
      <w:tabs>
        <w:tab w:val="center" w:pos="4536"/>
        <w:tab w:val="right" w:pos="9072"/>
      </w:tabs>
    </w:pPr>
  </w:style>
  <w:style w:type="character" w:customStyle="1" w:styleId="AltbilgiChar">
    <w:name w:val="Altbilgi Char"/>
    <w:basedOn w:val="VarsaylanParagrafYazTipi"/>
    <w:link w:val="Altbilgi"/>
    <w:uiPriority w:val="99"/>
    <w:rsid w:val="00E75A62"/>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073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1788</Words>
  <Characters>10197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oasik</dc:creator>
  <cp:lastModifiedBy>oasik</cp:lastModifiedBy>
  <cp:revision>17</cp:revision>
  <dcterms:created xsi:type="dcterms:W3CDTF">2011-07-01T11:12:00Z</dcterms:created>
  <dcterms:modified xsi:type="dcterms:W3CDTF">2011-07-08T16:49:00Z</dcterms:modified>
</cp:coreProperties>
</file>